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C" w:rsidRDefault="003A117C" w:rsidP="007827B0">
      <w:pPr>
        <w:spacing w:after="0"/>
        <w:rPr>
          <w:b/>
          <w:sz w:val="32"/>
          <w:szCs w:val="32"/>
        </w:rPr>
      </w:pPr>
    </w:p>
    <w:p w:rsidR="003A117C" w:rsidRDefault="00FD0138" w:rsidP="007827B0">
      <w:pPr>
        <w:spacing w:after="0"/>
        <w:rPr>
          <w:b/>
          <w:sz w:val="32"/>
          <w:szCs w:val="32"/>
        </w:rPr>
      </w:pPr>
      <w:r w:rsidRPr="00FD0138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5212080</wp:posOffset>
            </wp:positionH>
            <wp:positionV relativeFrom="margin">
              <wp:posOffset>-47625</wp:posOffset>
            </wp:positionV>
            <wp:extent cx="885825" cy="600075"/>
            <wp:effectExtent l="19050" t="0" r="9525" b="0"/>
            <wp:wrapSquare wrapText="bothSides"/>
            <wp:docPr id="2" name="Picture 1" descr="Aito_Association Version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to_Association Version cropp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17C" w:rsidRDefault="003A117C" w:rsidP="007827B0">
      <w:pPr>
        <w:spacing w:after="0"/>
        <w:rPr>
          <w:b/>
          <w:sz w:val="32"/>
          <w:szCs w:val="32"/>
        </w:rPr>
      </w:pPr>
    </w:p>
    <w:p w:rsidR="007827B0" w:rsidRDefault="00BA1659" w:rsidP="007827B0">
      <w:pPr>
        <w:spacing w:after="0"/>
        <w:rPr>
          <w:b/>
          <w:sz w:val="32"/>
          <w:szCs w:val="32"/>
        </w:rPr>
      </w:pPr>
      <w:r w:rsidRPr="00BA1659">
        <w:rPr>
          <w:b/>
          <w:sz w:val="32"/>
          <w:szCs w:val="32"/>
        </w:rPr>
        <w:t>AITO’S RESPONSE TO THE D</w:t>
      </w:r>
      <w:r>
        <w:rPr>
          <w:b/>
          <w:sz w:val="32"/>
          <w:szCs w:val="32"/>
        </w:rPr>
        <w:t xml:space="preserve">fT’s </w:t>
      </w:r>
      <w:r w:rsidRPr="00BA1659">
        <w:rPr>
          <w:b/>
          <w:sz w:val="32"/>
          <w:szCs w:val="32"/>
        </w:rPr>
        <w:t xml:space="preserve">CALL FOR EVIDENCE </w:t>
      </w:r>
    </w:p>
    <w:p w:rsidR="001760DC" w:rsidRDefault="00BA1659" w:rsidP="007827B0">
      <w:pPr>
        <w:spacing w:after="0"/>
        <w:rPr>
          <w:b/>
          <w:sz w:val="32"/>
          <w:szCs w:val="32"/>
        </w:rPr>
      </w:pPr>
      <w:r w:rsidRPr="00BA1659">
        <w:rPr>
          <w:b/>
          <w:sz w:val="32"/>
          <w:szCs w:val="32"/>
        </w:rPr>
        <w:t>ON THE ATOL IMPLEMENTATION/FUNDING ARRANGEMENTS</w:t>
      </w:r>
    </w:p>
    <w:p w:rsidR="007827B0" w:rsidRDefault="007827B0" w:rsidP="007827B0">
      <w:pPr>
        <w:spacing w:after="0"/>
        <w:rPr>
          <w:b/>
          <w:sz w:val="32"/>
          <w:szCs w:val="32"/>
        </w:rPr>
      </w:pPr>
    </w:p>
    <w:p w:rsidR="00CC2F30" w:rsidRDefault="00EF20ED" w:rsidP="007827B0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</w:t>
      </w:r>
      <w:r w:rsidR="00CC2F30" w:rsidRPr="00CC2F30">
        <w:rPr>
          <w:b/>
          <w:i/>
          <w:sz w:val="32"/>
          <w:szCs w:val="32"/>
        </w:rPr>
        <w:t>Dual-</w:t>
      </w:r>
      <w:r w:rsidR="000774F3">
        <w:rPr>
          <w:b/>
          <w:i/>
          <w:sz w:val="32"/>
          <w:szCs w:val="32"/>
        </w:rPr>
        <w:t>licensing system costs SMEs £6,3</w:t>
      </w:r>
      <w:r w:rsidR="00CC2F30" w:rsidRPr="00CC2F30">
        <w:rPr>
          <w:b/>
          <w:i/>
          <w:sz w:val="32"/>
          <w:szCs w:val="32"/>
        </w:rPr>
        <w:t>00 per annum</w:t>
      </w:r>
    </w:p>
    <w:p w:rsidR="00EF20ED" w:rsidRPr="00CC2F30" w:rsidRDefault="003A117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AITO</w:t>
      </w:r>
      <w:r w:rsidR="00EF20ED">
        <w:rPr>
          <w:b/>
          <w:i/>
          <w:sz w:val="32"/>
          <w:szCs w:val="32"/>
        </w:rPr>
        <w:t xml:space="preserve"> calls for airline</w:t>
      </w:r>
      <w:r w:rsidR="007F16D4">
        <w:rPr>
          <w:b/>
          <w:i/>
          <w:sz w:val="32"/>
          <w:szCs w:val="32"/>
        </w:rPr>
        <w:t xml:space="preserve">s to contribute to repatriation costs </w:t>
      </w:r>
    </w:p>
    <w:p w:rsidR="00EF20ED" w:rsidRDefault="00EF20ED" w:rsidP="00CC2F30">
      <w:pPr>
        <w:spacing w:after="0" w:line="276" w:lineRule="auto"/>
      </w:pPr>
    </w:p>
    <w:p w:rsidR="00BA1659" w:rsidRPr="007827B0" w:rsidRDefault="00BA1659" w:rsidP="00CC2F30">
      <w:pPr>
        <w:spacing w:after="0" w:line="276" w:lineRule="auto"/>
        <w:rPr>
          <w:b/>
        </w:rPr>
      </w:pPr>
      <w:r w:rsidRPr="007827B0">
        <w:rPr>
          <w:b/>
        </w:rPr>
        <w:t>AITO (</w:t>
      </w:r>
      <w:hyperlink r:id="rId8" w:history="1">
        <w:r w:rsidRPr="007827B0">
          <w:rPr>
            <w:rStyle w:val="Hyperlink"/>
            <w:b/>
          </w:rPr>
          <w:t>www.aito.com</w:t>
        </w:r>
      </w:hyperlink>
      <w:r w:rsidRPr="007827B0">
        <w:rPr>
          <w:b/>
        </w:rPr>
        <w:t>), the 125-strong Association of Independent Tour Operators, is the</w:t>
      </w:r>
      <w:r w:rsidR="00CC2F30" w:rsidRPr="007827B0">
        <w:rPr>
          <w:b/>
        </w:rPr>
        <w:t xml:space="preserve"> only travel trade organisation to report clear facts and figures from its members on the latest Department for Transport Call for Evidence regarding consumer financial protection in the UK.</w:t>
      </w:r>
    </w:p>
    <w:p w:rsidR="00CC2F30" w:rsidRDefault="00CC2F30" w:rsidP="00CC2F30">
      <w:pPr>
        <w:spacing w:after="0" w:line="276" w:lineRule="auto"/>
      </w:pPr>
    </w:p>
    <w:p w:rsidR="00EF20ED" w:rsidRDefault="00CC2F30" w:rsidP="007F16D4">
      <w:pPr>
        <w:spacing w:line="276" w:lineRule="auto"/>
      </w:pPr>
      <w:r>
        <w:t>Says</w:t>
      </w:r>
      <w:r w:rsidR="007F16D4">
        <w:t xml:space="preserve"> Alisdair Luxmoore</w:t>
      </w:r>
      <w:r w:rsidR="007D307B">
        <w:t xml:space="preserve"> (Fleewinter)</w:t>
      </w:r>
      <w:r w:rsidR="007F16D4">
        <w:t>, AITO Industry Affairs Director</w:t>
      </w:r>
      <w:r>
        <w:t>:  “</w:t>
      </w:r>
      <w:r w:rsidR="000774F3">
        <w:t>Some 44</w:t>
      </w:r>
      <w:r w:rsidR="0081137E">
        <w:t xml:space="preserve"> </w:t>
      </w:r>
      <w:r>
        <w:t>members responded to our survey</w:t>
      </w:r>
      <w:r w:rsidR="000774F3">
        <w:t xml:space="preserve">.  </w:t>
      </w:r>
      <w:r w:rsidR="000774F3" w:rsidRPr="000774F3">
        <w:t xml:space="preserve">That’s over one-third of AITO members, </w:t>
      </w:r>
      <w:r w:rsidR="000774F3" w:rsidRPr="000774F3">
        <w:rPr>
          <w:rFonts w:cs="Arial"/>
        </w:rPr>
        <w:t>representing more £250M in turnover and almost 200,000 holidays per year</w:t>
      </w:r>
      <w:r w:rsidR="000774F3">
        <w:rPr>
          <w:rFonts w:cs="Arial"/>
        </w:rPr>
        <w:t>.  I</w:t>
      </w:r>
      <w:r>
        <w:t>t’s clear from what they tell us that a one-system only set-up is much needed.  Our message to the DfT is equally clear – merge the licensable and non-licensable systems into one, and save huge amounts of administrative time and hassle for our members</w:t>
      </w:r>
      <w:r w:rsidR="00111F8C">
        <w:t xml:space="preserve"> and, indeed, the whole industry.</w:t>
      </w:r>
      <w:r>
        <w:t xml:space="preserve">  A change to the system will also rid us all of the lack of clarity that prevails within the industry and, equally, amongst consumers</w:t>
      </w:r>
      <w:r w:rsidR="00B12509">
        <w:t xml:space="preserve">, who simply don’t know for sure which logos </w:t>
      </w:r>
      <w:r w:rsidR="007827B0">
        <w:t xml:space="preserve">will </w:t>
      </w:r>
      <w:r w:rsidR="00B12509">
        <w:t>deliver the holiday security they seek</w:t>
      </w:r>
      <w:r>
        <w:t>.</w:t>
      </w:r>
    </w:p>
    <w:p w:rsidR="00CC2F30" w:rsidRDefault="00CC2F30" w:rsidP="007F16D4">
      <w:pPr>
        <w:spacing w:line="276" w:lineRule="auto"/>
      </w:pPr>
      <w:r>
        <w:t>”</w:t>
      </w:r>
      <w:r w:rsidR="00EF20ED">
        <w:t xml:space="preserve">AITO members were equally clear about </w:t>
      </w:r>
      <w:r w:rsidR="007F16D4">
        <w:t xml:space="preserve">the </w:t>
      </w:r>
      <w:r w:rsidR="00EF20ED">
        <w:t xml:space="preserve">inclusion </w:t>
      </w:r>
      <w:r w:rsidR="007F16D4">
        <w:t xml:space="preserve">of airlines </w:t>
      </w:r>
      <w:r w:rsidR="00EF20ED">
        <w:t>in a new one-system-only licensing scheme.</w:t>
      </w:r>
      <w:r w:rsidR="007F16D4">
        <w:t xml:space="preserve">  </w:t>
      </w:r>
      <w:r w:rsidR="007F16D4" w:rsidRPr="007F16D4">
        <w:t>W</w:t>
      </w:r>
      <w:r w:rsidR="007F16D4" w:rsidRPr="007F16D4">
        <w:rPr>
          <w:rFonts w:cs="Arial"/>
        </w:rPr>
        <w:t xml:space="preserve">hen airlines run into difficulties the tax-payer ends up footing the bill for repatriation and AITO members believe that airlines should contribute to this cost, as </w:t>
      </w:r>
      <w:r w:rsidR="007F16D4">
        <w:rPr>
          <w:rFonts w:cs="Arial"/>
        </w:rPr>
        <w:t>do tour operators.</w:t>
      </w:r>
      <w:r w:rsidR="003A117C">
        <w:rPr>
          <w:rFonts w:cs="Arial"/>
        </w:rPr>
        <w:t>”</w:t>
      </w:r>
    </w:p>
    <w:p w:rsidR="00EF20ED" w:rsidRDefault="007F16D4" w:rsidP="000774F3">
      <w:pPr>
        <w:spacing w:line="276" w:lineRule="auto"/>
      </w:pPr>
      <w:r>
        <w:t>Luxmoore</w:t>
      </w:r>
      <w:r w:rsidR="00EF20ED">
        <w:t xml:space="preserve"> continues:  “This is a wonderful opportunity to change a system that was designed for the 1970s into one which will help small UK travel enterprises compete against growing multi-nationals</w:t>
      </w:r>
      <w:r w:rsidR="007827B0">
        <w:t>; we hope that the DfT will seize upon it</w:t>
      </w:r>
      <w:r w:rsidR="00EF20ED">
        <w:t>.”</w:t>
      </w:r>
    </w:p>
    <w:p w:rsidR="00CC2F30" w:rsidRDefault="00CC2F30" w:rsidP="00CC2F30">
      <w:pPr>
        <w:spacing w:after="0" w:line="276" w:lineRule="auto"/>
      </w:pPr>
      <w:r w:rsidRPr="0081137E">
        <w:rPr>
          <w:b/>
        </w:rPr>
        <w:t>Uniquely</w:t>
      </w:r>
      <w:r w:rsidR="0081137E">
        <w:rPr>
          <w:b/>
        </w:rPr>
        <w:t xml:space="preserve"> within the industry</w:t>
      </w:r>
      <w:r w:rsidRPr="0081137E">
        <w:rPr>
          <w:b/>
        </w:rPr>
        <w:t>, AITO members have provided hard figures to demonstrate the cost of operating the UK’s two-tier financial protection system.</w:t>
      </w:r>
      <w:r w:rsidR="007F16D4">
        <w:t xml:space="preserve">  Luxmoore</w:t>
      </w:r>
      <w:r>
        <w:t xml:space="preserve"> comments:  “AITO members have quantified the cost </w:t>
      </w:r>
      <w:r w:rsidR="000774F3">
        <w:t xml:space="preserve">(simply the time expended – not per seat bonding costs or APC payments) </w:t>
      </w:r>
      <w:r>
        <w:t>of handling two sets of licensing requirements each year if they sell both air-inclusive and surface</w:t>
      </w:r>
      <w:r w:rsidR="007F16D4">
        <w:t xml:space="preserve"> transport-inclusive holidays</w:t>
      </w:r>
      <w:r w:rsidR="007F16D4" w:rsidRPr="007F16D4">
        <w:t>:</w:t>
      </w:r>
      <w:r w:rsidR="007F16D4" w:rsidRPr="007F16D4">
        <w:rPr>
          <w:b/>
        </w:rPr>
        <w:t xml:space="preserve"> </w:t>
      </w:r>
      <w:r w:rsidRPr="007F16D4">
        <w:rPr>
          <w:b/>
        </w:rPr>
        <w:t>it</w:t>
      </w:r>
      <w:r w:rsidR="007827B0">
        <w:t xml:space="preserve"> </w:t>
      </w:r>
      <w:r w:rsidR="007827B0" w:rsidRPr="007F16D4">
        <w:rPr>
          <w:b/>
        </w:rPr>
        <w:t xml:space="preserve">averages out at a </w:t>
      </w:r>
      <w:r w:rsidRPr="007F16D4">
        <w:rPr>
          <w:b/>
        </w:rPr>
        <w:t xml:space="preserve"> ma</w:t>
      </w:r>
      <w:r w:rsidR="000774F3" w:rsidRPr="007F16D4">
        <w:rPr>
          <w:b/>
        </w:rPr>
        <w:t>ssive £6,3</w:t>
      </w:r>
      <w:r w:rsidRPr="007F16D4">
        <w:rPr>
          <w:b/>
        </w:rPr>
        <w:t>00 per annum.</w:t>
      </w:r>
      <w:r>
        <w:t xml:space="preserve">  Plainly, </w:t>
      </w:r>
      <w:r w:rsidR="00B12509">
        <w:t xml:space="preserve">it does not </w:t>
      </w:r>
      <w:r>
        <w:t>make sense</w:t>
      </w:r>
      <w:r w:rsidR="00B12509">
        <w:t xml:space="preserve"> for probably hundreds of UK tour operators</w:t>
      </w:r>
      <w:r w:rsidR="0081137E">
        <w:t xml:space="preserve"> in total</w:t>
      </w:r>
      <w:r w:rsidR="00B12509">
        <w:t xml:space="preserve"> to waste such a considerable amount of cash in any economic climate, let alone the current situation.”</w:t>
      </w:r>
    </w:p>
    <w:p w:rsidR="000774F3" w:rsidRDefault="000774F3" w:rsidP="00CC2F30">
      <w:pPr>
        <w:spacing w:after="0" w:line="276" w:lineRule="auto"/>
      </w:pPr>
    </w:p>
    <w:p w:rsidR="000774F3" w:rsidRDefault="000774F3" w:rsidP="00CC2F30">
      <w:pPr>
        <w:spacing w:after="0" w:line="276" w:lineRule="auto"/>
      </w:pPr>
      <w:r>
        <w:t>Those who work solely with one of the two financial protection systems would thus pay approximately half of this figure, ie £3,150 per annum for</w:t>
      </w:r>
      <w:r w:rsidR="007827B0">
        <w:t xml:space="preserve"> their</w:t>
      </w:r>
      <w:r>
        <w:t xml:space="preserve"> time alone.  </w:t>
      </w:r>
    </w:p>
    <w:p w:rsidR="00EF20ED" w:rsidRDefault="00EF20ED" w:rsidP="00CC2F30">
      <w:pPr>
        <w:spacing w:after="0" w:line="276" w:lineRule="auto"/>
      </w:pPr>
    </w:p>
    <w:p w:rsidR="00EF20ED" w:rsidRDefault="00EF20ED" w:rsidP="00CC2F30">
      <w:pPr>
        <w:spacing w:after="0" w:line="276" w:lineRule="auto"/>
      </w:pPr>
      <w:r>
        <w:t xml:space="preserve">The savings if one system were instituted therefore amount to over £3,000 per annum per company or around 70p per passenger carried.  In addition, AITO estimates the variable cost per passenger for protection would drop by around 20% as a result of economies of scale and increased competition in the bonding and insurance markets.  This variable cost is currently £2.98 per </w:t>
      </w:r>
      <w:r>
        <w:lastRenderedPageBreak/>
        <w:t xml:space="preserve">passenger for AITO members and would therefore fall to £2.38 per passenger, saving a further 60p per passenger carried.  </w:t>
      </w:r>
    </w:p>
    <w:p w:rsidR="003A117C" w:rsidRDefault="003A117C" w:rsidP="00CC2F30">
      <w:pPr>
        <w:spacing w:after="0" w:line="276" w:lineRule="auto"/>
      </w:pPr>
    </w:p>
    <w:p w:rsidR="00B12509" w:rsidRDefault="0081137E" w:rsidP="00CC2F30">
      <w:pPr>
        <w:spacing w:after="0" w:line="276" w:lineRule="auto"/>
        <w:rPr>
          <w:b/>
        </w:rPr>
      </w:pPr>
      <w:r>
        <w:rPr>
          <w:b/>
        </w:rPr>
        <w:t>How did AITO members calculate</w:t>
      </w:r>
      <w:r w:rsidR="00B12509" w:rsidRPr="00B12509">
        <w:rPr>
          <w:b/>
        </w:rPr>
        <w:t xml:space="preserve"> the cost</w:t>
      </w:r>
      <w:r>
        <w:rPr>
          <w:b/>
        </w:rPr>
        <w:t>s incurred</w:t>
      </w:r>
      <w:r w:rsidR="00B12509" w:rsidRPr="00B12509">
        <w:rPr>
          <w:b/>
        </w:rPr>
        <w:t>?</w:t>
      </w:r>
    </w:p>
    <w:p w:rsidR="0081137E" w:rsidRDefault="0081137E" w:rsidP="00CC2F30">
      <w:pPr>
        <w:spacing w:after="0" w:line="276" w:lineRule="auto"/>
        <w:rPr>
          <w:b/>
        </w:rPr>
      </w:pPr>
    </w:p>
    <w:p w:rsidR="0081137E" w:rsidRPr="000774F3" w:rsidRDefault="0081137E" w:rsidP="000774F3">
      <w:pPr>
        <w:pStyle w:val="ListParagraph"/>
        <w:numPr>
          <w:ilvl w:val="0"/>
          <w:numId w:val="1"/>
        </w:numPr>
        <w:spacing w:after="0" w:line="276" w:lineRule="auto"/>
        <w:rPr>
          <w:b/>
        </w:rPr>
      </w:pPr>
      <w:r w:rsidRPr="000774F3">
        <w:t>Each company running two licensing systems calculated the number of hours spent on both, and estimated costs according to the hourly rate of the person undertaking the work.</w:t>
      </w:r>
    </w:p>
    <w:p w:rsidR="0081137E" w:rsidRPr="000774F3" w:rsidRDefault="0081137E" w:rsidP="000774F3">
      <w:pPr>
        <w:pStyle w:val="ListParagraph"/>
        <w:numPr>
          <w:ilvl w:val="0"/>
          <w:numId w:val="1"/>
        </w:numPr>
        <w:spacing w:line="276" w:lineRule="auto"/>
      </w:pPr>
      <w:r w:rsidRPr="000774F3">
        <w:rPr>
          <w:rFonts w:cs="Arial"/>
        </w:rPr>
        <w:t>Also taken into account were the fixed costs involved, ie application fees</w:t>
      </w:r>
      <w:r w:rsidR="000774F3">
        <w:rPr>
          <w:rFonts w:cs="Arial"/>
        </w:rPr>
        <w:t>.</w:t>
      </w:r>
    </w:p>
    <w:p w:rsidR="0081137E" w:rsidRPr="000774F3" w:rsidRDefault="0081137E" w:rsidP="000774F3">
      <w:pPr>
        <w:pStyle w:val="ListParagraph"/>
        <w:numPr>
          <w:ilvl w:val="0"/>
          <w:numId w:val="1"/>
        </w:numPr>
        <w:spacing w:line="276" w:lineRule="auto"/>
      </w:pPr>
      <w:r w:rsidRPr="000774F3">
        <w:rPr>
          <w:rFonts w:cs="Arial"/>
        </w:rPr>
        <w:t>External costs charged by accountants for checking forms, etc, were added</w:t>
      </w:r>
      <w:r w:rsidR="000774F3">
        <w:rPr>
          <w:rFonts w:cs="Arial"/>
        </w:rPr>
        <w:t>.</w:t>
      </w:r>
    </w:p>
    <w:p w:rsidR="0081137E" w:rsidRPr="003A117C" w:rsidRDefault="0081137E" w:rsidP="000774F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3A117C">
        <w:rPr>
          <w:rFonts w:cs="Arial"/>
          <w:b/>
        </w:rPr>
        <w:t>AITO believes that members will have dramatically under-estimated the time and costs incurred in running two systems</w:t>
      </w:r>
      <w:r w:rsidR="007827B0" w:rsidRPr="003A117C">
        <w:rPr>
          <w:rFonts w:cs="Arial"/>
          <w:b/>
        </w:rPr>
        <w:t xml:space="preserve"> so the actual costs involved will be greater</w:t>
      </w:r>
      <w:r w:rsidR="000774F3" w:rsidRPr="003A117C">
        <w:rPr>
          <w:rFonts w:cs="Arial"/>
          <w:b/>
        </w:rPr>
        <w:t>.</w:t>
      </w:r>
    </w:p>
    <w:p w:rsidR="000774F3" w:rsidRPr="00EF20ED" w:rsidRDefault="0081137E" w:rsidP="000774F3">
      <w:pPr>
        <w:pStyle w:val="ListParagraph"/>
        <w:numPr>
          <w:ilvl w:val="0"/>
          <w:numId w:val="1"/>
        </w:numPr>
        <w:spacing w:after="0" w:line="276" w:lineRule="auto"/>
      </w:pPr>
      <w:r w:rsidRPr="000774F3">
        <w:t>Companies operating only licensable or only non-licensable business</w:t>
      </w:r>
      <w:r w:rsidR="000774F3" w:rsidRPr="000774F3">
        <w:t xml:space="preserve"> (16% of responses)</w:t>
      </w:r>
      <w:r w:rsidRPr="000774F3">
        <w:t xml:space="preserve"> were excluded from the research, as the aim was to quant</w:t>
      </w:r>
      <w:r w:rsidR="007D307B">
        <w:t>ify cost</w:t>
      </w:r>
      <w:r w:rsidRPr="000774F3">
        <w:t xml:space="preserve"> savings for those operating </w:t>
      </w:r>
      <w:r w:rsidR="007827B0">
        <w:t xml:space="preserve">the current </w:t>
      </w:r>
      <w:r w:rsidRPr="000774F3">
        <w:t>two systems.</w:t>
      </w:r>
      <w:r w:rsidR="007827B0">
        <w:t xml:space="preserve">  While one-system</w:t>
      </w:r>
      <w:r w:rsidR="000774F3">
        <w:t xml:space="preserve"> companies</w:t>
      </w:r>
      <w:r w:rsidR="000774F3" w:rsidRPr="000774F3">
        <w:t xml:space="preserve"> would not benefit </w:t>
      </w:r>
      <w:r w:rsidR="007827B0">
        <w:t xml:space="preserve">financially </w:t>
      </w:r>
      <w:r w:rsidR="000774F3" w:rsidRPr="000774F3">
        <w:t xml:space="preserve">from a </w:t>
      </w:r>
      <w:r w:rsidR="000774F3" w:rsidRPr="000774F3">
        <w:rPr>
          <w:rFonts w:cs="Arial"/>
        </w:rPr>
        <w:t>merg</w:t>
      </w:r>
      <w:r w:rsidR="007827B0">
        <w:rPr>
          <w:rFonts w:cs="Arial"/>
        </w:rPr>
        <w:t>ed protection system</w:t>
      </w:r>
      <w:r w:rsidR="000774F3">
        <w:rPr>
          <w:rFonts w:cs="Arial"/>
        </w:rPr>
        <w:t>,</w:t>
      </w:r>
      <w:r w:rsidR="000774F3" w:rsidRPr="000774F3">
        <w:rPr>
          <w:rFonts w:cs="Arial"/>
        </w:rPr>
        <w:t xml:space="preserve"> they</w:t>
      </w:r>
      <w:r w:rsidR="000774F3">
        <w:rPr>
          <w:rFonts w:cs="Arial"/>
        </w:rPr>
        <w:t xml:space="preserve"> would</w:t>
      </w:r>
      <w:r w:rsidR="000774F3" w:rsidRPr="000774F3">
        <w:rPr>
          <w:rFonts w:cs="Arial"/>
        </w:rPr>
        <w:t xml:space="preserve"> still welcome clarification and many will benefit from increased competit</w:t>
      </w:r>
      <w:r w:rsidR="000774F3">
        <w:rPr>
          <w:rFonts w:cs="Arial"/>
        </w:rPr>
        <w:t>ion in the market from</w:t>
      </w:r>
      <w:r w:rsidR="000774F3" w:rsidRPr="000774F3">
        <w:rPr>
          <w:rFonts w:cs="Arial"/>
        </w:rPr>
        <w:t xml:space="preserve"> providers of financial protection.  The other 84% would see substantial benefits, which would enable them to compete more fairly.</w:t>
      </w:r>
    </w:p>
    <w:p w:rsidR="00EF20ED" w:rsidRDefault="00EF20ED" w:rsidP="00EF20ED">
      <w:pPr>
        <w:spacing w:after="0" w:line="276" w:lineRule="auto"/>
      </w:pPr>
    </w:p>
    <w:p w:rsidR="00EF20ED" w:rsidRPr="003A117C" w:rsidRDefault="003A117C" w:rsidP="00EF20ED">
      <w:pPr>
        <w:spacing w:after="0" w:line="276" w:lineRule="auto"/>
        <w:rPr>
          <w:b/>
        </w:rPr>
      </w:pPr>
      <w:r w:rsidRPr="003A117C">
        <w:rPr>
          <w:b/>
        </w:rPr>
        <w:t>AITO</w:t>
      </w:r>
      <w:r w:rsidR="00EF20ED" w:rsidRPr="003A117C">
        <w:rPr>
          <w:b/>
        </w:rPr>
        <w:t xml:space="preserve"> sees a significant benefit in separating repatriation from the financial protection system and in removing credit card merchant acquirers from </w:t>
      </w:r>
      <w:r w:rsidR="007827B0" w:rsidRPr="003A117C">
        <w:rPr>
          <w:b/>
        </w:rPr>
        <w:t>it, too, thus removing so-called double bonding of tour operators at a stroke</w:t>
      </w:r>
      <w:r w:rsidR="00EF20ED" w:rsidRPr="003A117C">
        <w:rPr>
          <w:b/>
        </w:rPr>
        <w:t xml:space="preserve">.  </w:t>
      </w:r>
    </w:p>
    <w:p w:rsidR="002B0232" w:rsidRPr="003A117C" w:rsidRDefault="002B0232" w:rsidP="00EF20ED">
      <w:pPr>
        <w:spacing w:after="0" w:line="276" w:lineRule="auto"/>
        <w:rPr>
          <w:b/>
        </w:rPr>
      </w:pPr>
    </w:p>
    <w:p w:rsidR="002B0232" w:rsidRDefault="002B0232" w:rsidP="00EF20ED">
      <w:pPr>
        <w:spacing w:after="0" w:line="276" w:lineRule="auto"/>
      </w:pPr>
      <w:r>
        <w:t xml:space="preserve">Chair of AITO, Derek Moore, says:  “I’d like to thank Alisdair Luxmoore (Fleewinter) and Ismet Emin (Sunvil Holidays) for their excellent work in pulling </w:t>
      </w:r>
      <w:r w:rsidR="003A117C">
        <w:t xml:space="preserve">together </w:t>
      </w:r>
      <w:r>
        <w:t>this s</w:t>
      </w:r>
      <w:r w:rsidR="003A117C">
        <w:t>urvey</w:t>
      </w:r>
      <w:r>
        <w:t xml:space="preserve">, and </w:t>
      </w:r>
      <w:r w:rsidR="003A117C">
        <w:t xml:space="preserve">indeed </w:t>
      </w:r>
      <w:r>
        <w:t>all AITO members for taking the time (yet more form-filling</w:t>
      </w:r>
      <w:r w:rsidR="003A117C">
        <w:t xml:space="preserve"> at a very busy time of year</w:t>
      </w:r>
      <w:r>
        <w:t xml:space="preserve">) to give us the ammunition we needed to brief the Department for Transport </w:t>
      </w:r>
      <w:r w:rsidR="003A117C">
        <w:t xml:space="preserve">fully </w:t>
      </w:r>
      <w:r>
        <w:t>in respect of AITO members’ wishes.”</w:t>
      </w:r>
      <w:r>
        <w:rPr>
          <w:rFonts w:ascii="Calibri" w:eastAsia="Times New Roman" w:hAnsi="Calibri"/>
        </w:rPr>
        <w:br/>
      </w:r>
    </w:p>
    <w:p w:rsidR="007827B0" w:rsidRDefault="007827B0" w:rsidP="00EF20ED">
      <w:pPr>
        <w:spacing w:after="0" w:line="276" w:lineRule="auto"/>
      </w:pPr>
    </w:p>
    <w:p w:rsidR="000774F3" w:rsidRDefault="007827B0" w:rsidP="000774F3">
      <w:pPr>
        <w:spacing w:after="0" w:line="276" w:lineRule="auto"/>
        <w:rPr>
          <w:b/>
        </w:rPr>
      </w:pPr>
      <w:r w:rsidRPr="007827B0">
        <w:rPr>
          <w:b/>
        </w:rPr>
        <w:t>Ends/</w:t>
      </w:r>
      <w:r w:rsidR="007F16D4">
        <w:rPr>
          <w:b/>
        </w:rPr>
        <w:t>22nd</w:t>
      </w:r>
      <w:r w:rsidRPr="007827B0">
        <w:rPr>
          <w:b/>
        </w:rPr>
        <w:t xml:space="preserve"> August, 2013</w:t>
      </w:r>
    </w:p>
    <w:p w:rsidR="00B93FF6" w:rsidRDefault="00B93FF6" w:rsidP="000774F3">
      <w:pPr>
        <w:spacing w:after="0" w:line="276" w:lineRule="auto"/>
        <w:rPr>
          <w:b/>
        </w:rPr>
      </w:pPr>
    </w:p>
    <w:p w:rsidR="00B93FF6" w:rsidRDefault="00B93FF6" w:rsidP="000774F3">
      <w:pPr>
        <w:spacing w:after="0" w:line="276" w:lineRule="auto"/>
      </w:pPr>
      <w:r>
        <w:rPr>
          <w:b/>
        </w:rPr>
        <w:t xml:space="preserve">Note for Editors:  </w:t>
      </w:r>
      <w:r>
        <w:t>A single licensing scheme for consumer financial protection would tie in, at long last, with the government’s stated aim under its Better Regulation Taskforce findings.</w:t>
      </w:r>
    </w:p>
    <w:p w:rsidR="003A117C" w:rsidRDefault="003A117C" w:rsidP="000774F3">
      <w:pPr>
        <w:spacing w:after="0" w:line="276" w:lineRule="auto"/>
      </w:pPr>
    </w:p>
    <w:p w:rsidR="003A117C" w:rsidRPr="00B93FF6" w:rsidRDefault="003A117C" w:rsidP="000774F3">
      <w:pPr>
        <w:spacing w:after="0" w:line="276" w:lineRule="auto"/>
      </w:pPr>
      <w:r>
        <w:t xml:space="preserve">For more information on AITO, visit the new website at </w:t>
      </w:r>
      <w:hyperlink r:id="rId9" w:history="1">
        <w:r w:rsidRPr="00332832">
          <w:rPr>
            <w:rStyle w:val="Hyperlink"/>
          </w:rPr>
          <w:t>www.aito.com</w:t>
        </w:r>
      </w:hyperlink>
      <w:r>
        <w:t xml:space="preserve">. </w:t>
      </w:r>
    </w:p>
    <w:p w:rsidR="007827B0" w:rsidRDefault="007827B0" w:rsidP="000774F3">
      <w:pPr>
        <w:spacing w:after="0" w:line="276" w:lineRule="auto"/>
      </w:pPr>
    </w:p>
    <w:p w:rsidR="007827B0" w:rsidRPr="000774F3" w:rsidRDefault="007827B0" w:rsidP="000774F3">
      <w:pPr>
        <w:spacing w:after="0" w:line="276" w:lineRule="auto"/>
        <w:rPr>
          <w:b/>
        </w:rPr>
      </w:pPr>
      <w:r w:rsidRPr="007827B0">
        <w:rPr>
          <w:b/>
        </w:rPr>
        <w:t>Press:</w:t>
      </w:r>
      <w:r>
        <w:t xml:space="preserve">  For further information, or to interview Alisdair Luxmoore</w:t>
      </w:r>
      <w:r w:rsidR="002B0232">
        <w:t xml:space="preserve"> (Fleewinter)</w:t>
      </w:r>
      <w:r>
        <w:t xml:space="preserve">, </w:t>
      </w:r>
      <w:r w:rsidR="002B0232">
        <w:t>AITO Industry Affairs Director</w:t>
      </w:r>
      <w:r>
        <w:t xml:space="preserve">, please contact Stephanie Reed at Travel PR on 020 881 4440 or email </w:t>
      </w:r>
      <w:hyperlink r:id="rId10" w:history="1">
        <w:r w:rsidR="003A117C" w:rsidRPr="00332832">
          <w:rPr>
            <w:rStyle w:val="Hyperlink"/>
          </w:rPr>
          <w:t>s.reed@travelpr.co.uk</w:t>
        </w:r>
      </w:hyperlink>
      <w:r>
        <w:t xml:space="preserve">. </w:t>
      </w:r>
    </w:p>
    <w:p w:rsidR="0081137E" w:rsidRPr="000774F3" w:rsidRDefault="0081137E" w:rsidP="000774F3">
      <w:pPr>
        <w:pStyle w:val="ListParagraph"/>
        <w:spacing w:after="0" w:line="276" w:lineRule="auto"/>
        <w:rPr>
          <w:b/>
        </w:rPr>
      </w:pPr>
    </w:p>
    <w:p w:rsidR="0081137E" w:rsidRPr="000774F3" w:rsidRDefault="0081137E" w:rsidP="000774F3">
      <w:pPr>
        <w:pStyle w:val="ListParagraph"/>
        <w:spacing w:after="0" w:line="276" w:lineRule="auto"/>
        <w:rPr>
          <w:b/>
        </w:rPr>
      </w:pPr>
    </w:p>
    <w:p w:rsidR="00CC2F30" w:rsidRPr="000774F3" w:rsidRDefault="00CC2F30" w:rsidP="000774F3">
      <w:pPr>
        <w:spacing w:after="0" w:line="276" w:lineRule="auto"/>
      </w:pPr>
    </w:p>
    <w:p w:rsidR="00CC2F30" w:rsidRDefault="00CC2F30" w:rsidP="00CC2F30">
      <w:pPr>
        <w:spacing w:after="0" w:line="276" w:lineRule="auto"/>
      </w:pPr>
    </w:p>
    <w:p w:rsidR="00CC2F30" w:rsidRPr="00BA1659" w:rsidRDefault="00CC2F30" w:rsidP="00CC2F30">
      <w:pPr>
        <w:spacing w:after="0"/>
      </w:pPr>
    </w:p>
    <w:sectPr w:rsidR="00CC2F30" w:rsidRPr="00BA1659" w:rsidSect="007827B0">
      <w:footerReference w:type="default" r:id="rId11"/>
      <w:pgSz w:w="11906" w:h="16838"/>
      <w:pgMar w:top="1440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A4" w:rsidRDefault="00D54BA4" w:rsidP="007827B0">
      <w:pPr>
        <w:spacing w:after="0"/>
      </w:pPr>
      <w:r>
        <w:separator/>
      </w:r>
    </w:p>
  </w:endnote>
  <w:endnote w:type="continuationSeparator" w:id="0">
    <w:p w:rsidR="00D54BA4" w:rsidRDefault="00D54BA4" w:rsidP="007827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130930"/>
      <w:docPartObj>
        <w:docPartGallery w:val="Page Numbers (Bottom of Page)"/>
        <w:docPartUnique/>
      </w:docPartObj>
    </w:sdtPr>
    <w:sdtContent>
      <w:p w:rsidR="002B0232" w:rsidRDefault="00344251">
        <w:pPr>
          <w:pStyle w:val="Footer"/>
          <w:jc w:val="center"/>
        </w:pPr>
        <w:fldSimple w:instr=" PAGE   \* MERGEFORMAT ">
          <w:r w:rsidR="002124A1">
            <w:rPr>
              <w:noProof/>
            </w:rPr>
            <w:t>1</w:t>
          </w:r>
        </w:fldSimple>
      </w:p>
    </w:sdtContent>
  </w:sdt>
  <w:p w:rsidR="002B0232" w:rsidRDefault="002B0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A4" w:rsidRDefault="00D54BA4" w:rsidP="007827B0">
      <w:pPr>
        <w:spacing w:after="0"/>
      </w:pPr>
      <w:r>
        <w:separator/>
      </w:r>
    </w:p>
  </w:footnote>
  <w:footnote w:type="continuationSeparator" w:id="0">
    <w:p w:rsidR="00D54BA4" w:rsidRDefault="00D54BA4" w:rsidP="007827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6D97"/>
    <w:multiLevelType w:val="hybridMultilevel"/>
    <w:tmpl w:val="F104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659"/>
    <w:rsid w:val="000540C1"/>
    <w:rsid w:val="000774F3"/>
    <w:rsid w:val="000A10D1"/>
    <w:rsid w:val="000C6936"/>
    <w:rsid w:val="00111F8C"/>
    <w:rsid w:val="00120584"/>
    <w:rsid w:val="00131B3F"/>
    <w:rsid w:val="001760DC"/>
    <w:rsid w:val="002124A1"/>
    <w:rsid w:val="002228E8"/>
    <w:rsid w:val="002B0232"/>
    <w:rsid w:val="002F568C"/>
    <w:rsid w:val="00344251"/>
    <w:rsid w:val="003A117C"/>
    <w:rsid w:val="003E7AFD"/>
    <w:rsid w:val="00403930"/>
    <w:rsid w:val="004963DE"/>
    <w:rsid w:val="00505761"/>
    <w:rsid w:val="007827B0"/>
    <w:rsid w:val="0079214E"/>
    <w:rsid w:val="007D307B"/>
    <w:rsid w:val="007F16D4"/>
    <w:rsid w:val="007F2413"/>
    <w:rsid w:val="0081137E"/>
    <w:rsid w:val="008D2CB2"/>
    <w:rsid w:val="00B12509"/>
    <w:rsid w:val="00B93FF6"/>
    <w:rsid w:val="00BA1659"/>
    <w:rsid w:val="00C014AA"/>
    <w:rsid w:val="00C933D6"/>
    <w:rsid w:val="00CC2F30"/>
    <w:rsid w:val="00CD7164"/>
    <w:rsid w:val="00D54BA4"/>
    <w:rsid w:val="00ED18B9"/>
    <w:rsid w:val="00EF20ED"/>
    <w:rsid w:val="00F664A5"/>
    <w:rsid w:val="00FB3C96"/>
    <w:rsid w:val="00FD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7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7B0"/>
  </w:style>
  <w:style w:type="paragraph" w:styleId="Footer">
    <w:name w:val="footer"/>
    <w:basedOn w:val="Normal"/>
    <w:link w:val="FooterChar"/>
    <w:uiPriority w:val="99"/>
    <w:unhideWhenUsed/>
    <w:rsid w:val="007827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2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.reed@travelpr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sueo</dc:creator>
  <cp:lastModifiedBy>victorias</cp:lastModifiedBy>
  <cp:revision>2</cp:revision>
  <dcterms:created xsi:type="dcterms:W3CDTF">2013-08-27T11:37:00Z</dcterms:created>
  <dcterms:modified xsi:type="dcterms:W3CDTF">2013-08-27T11:37:00Z</dcterms:modified>
</cp:coreProperties>
</file>